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6" w:rsidRPr="00A97BD6" w:rsidRDefault="003E5C16" w:rsidP="00905ECE">
      <w:pPr>
        <w:spacing w:after="0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  <w:bookmarkStart w:id="0" w:name="_GoBack"/>
      <w:bookmarkEnd w:id="0"/>
      <w:r w:rsidRPr="00A97BD6">
        <w:rPr>
          <w:rFonts w:ascii="Arial" w:hAnsi="Arial" w:cs="Arial"/>
          <w:i/>
          <w:sz w:val="24"/>
          <w:szCs w:val="27"/>
          <w:u w:val="single"/>
          <w:lang w:val="en-GB" w:eastAsia="en-GB"/>
        </w:rPr>
        <w:t>Check against delivery</w:t>
      </w:r>
    </w:p>
    <w:p w:rsidR="003E5C16" w:rsidRPr="00A97BD6" w:rsidRDefault="003E5C16" w:rsidP="00905ECE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A97BD6" w:rsidRDefault="003E5C16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A97BD6" w:rsidRDefault="003E5C16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  <w:r w:rsidRPr="00A97BD6">
        <w:rPr>
          <w:rFonts w:ascii="Arial" w:hAnsi="Arial" w:cs="Arial"/>
          <w:noProof/>
          <w:sz w:val="24"/>
          <w:szCs w:val="27"/>
          <w:lang w:val="en-US"/>
        </w:rPr>
        <w:drawing>
          <wp:inline distT="0" distB="0" distL="0" distR="0" wp14:anchorId="5957667E" wp14:editId="0903C2DF">
            <wp:extent cx="1524000" cy="1143000"/>
            <wp:effectExtent l="0" t="0" r="0" b="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16" w:rsidRPr="00A97BD6" w:rsidRDefault="003E5C16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A97BD6" w:rsidRDefault="003E5C16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A97BD6">
        <w:rPr>
          <w:rFonts w:ascii="Arial" w:hAnsi="Arial" w:cs="Arial"/>
          <w:b/>
          <w:bCs/>
          <w:sz w:val="24"/>
          <w:szCs w:val="27"/>
          <w:lang w:val="en-GB"/>
        </w:rPr>
        <w:t>2</w:t>
      </w:r>
      <w:r w:rsidR="00E54438" w:rsidRPr="00A97BD6">
        <w:rPr>
          <w:rFonts w:ascii="Arial" w:hAnsi="Arial" w:cs="Arial"/>
          <w:b/>
          <w:bCs/>
          <w:sz w:val="24"/>
          <w:szCs w:val="27"/>
          <w:lang w:val="en-GB"/>
        </w:rPr>
        <w:t>7</w:t>
      </w:r>
      <w:r w:rsidRPr="00A97BD6">
        <w:rPr>
          <w:rFonts w:ascii="Arial" w:hAnsi="Arial" w:cs="Arial"/>
          <w:b/>
          <w:bCs/>
          <w:sz w:val="24"/>
          <w:szCs w:val="27"/>
          <w:vertAlign w:val="superscript"/>
          <w:lang w:val="en-GB"/>
        </w:rPr>
        <w:t>th</w:t>
      </w:r>
      <w:r w:rsidRPr="00A97BD6">
        <w:rPr>
          <w:rFonts w:ascii="Arial" w:hAnsi="Arial" w:cs="Arial"/>
          <w:b/>
          <w:bCs/>
          <w:sz w:val="24"/>
          <w:szCs w:val="27"/>
          <w:lang w:val="en-GB"/>
        </w:rPr>
        <w:t xml:space="preserve"> Session of the UPR Working Group</w:t>
      </w:r>
    </w:p>
    <w:p w:rsidR="003E5C16" w:rsidRPr="00A97BD6" w:rsidRDefault="003E5C16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A97BD6">
        <w:rPr>
          <w:rFonts w:ascii="Arial" w:hAnsi="Arial" w:cs="Arial"/>
          <w:b/>
          <w:bCs/>
          <w:sz w:val="24"/>
          <w:szCs w:val="27"/>
          <w:lang w:val="en-GB"/>
        </w:rPr>
        <w:t>Mongolia’s statement at the Review of I</w:t>
      </w:r>
      <w:r w:rsidR="00E54438" w:rsidRPr="00A97BD6">
        <w:rPr>
          <w:rFonts w:ascii="Arial" w:hAnsi="Arial" w:cs="Arial"/>
          <w:b/>
          <w:bCs/>
          <w:sz w:val="24"/>
          <w:szCs w:val="27"/>
          <w:lang w:val="en-GB"/>
        </w:rPr>
        <w:t>ndonesia</w:t>
      </w:r>
    </w:p>
    <w:p w:rsidR="003E5C16" w:rsidRPr="00A97BD6" w:rsidRDefault="00EA5481" w:rsidP="00905E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A97BD6">
        <w:rPr>
          <w:rFonts w:ascii="Arial" w:hAnsi="Arial" w:cs="Arial"/>
          <w:b/>
          <w:bCs/>
          <w:sz w:val="24"/>
          <w:szCs w:val="27"/>
          <w:lang w:val="en-GB"/>
        </w:rPr>
        <w:t>03 May</w:t>
      </w:r>
      <w:r w:rsidR="003E5C16" w:rsidRPr="00A97BD6">
        <w:rPr>
          <w:rFonts w:ascii="Arial" w:hAnsi="Arial" w:cs="Arial"/>
          <w:b/>
          <w:bCs/>
          <w:sz w:val="24"/>
          <w:szCs w:val="27"/>
          <w:lang w:val="en-GB"/>
        </w:rPr>
        <w:t>, 201</w:t>
      </w:r>
      <w:r w:rsidR="00E54438" w:rsidRPr="00A97BD6">
        <w:rPr>
          <w:rFonts w:ascii="Arial" w:hAnsi="Arial" w:cs="Arial"/>
          <w:b/>
          <w:bCs/>
          <w:sz w:val="24"/>
          <w:szCs w:val="27"/>
          <w:lang w:val="en-GB"/>
        </w:rPr>
        <w:t>7</w:t>
      </w:r>
    </w:p>
    <w:p w:rsidR="003E5C16" w:rsidRPr="00A97BD6" w:rsidRDefault="003E5C16" w:rsidP="00905ECE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A97BD6" w:rsidRDefault="003E5C16" w:rsidP="00905ECE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A97BD6" w:rsidRDefault="00905ECE" w:rsidP="00905EC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7"/>
          <w:lang w:val="en-GB"/>
        </w:rPr>
      </w:pPr>
      <w:r w:rsidRPr="00A97BD6">
        <w:rPr>
          <w:rFonts w:ascii="Arial" w:hAnsi="Arial" w:cs="Arial"/>
          <w:sz w:val="24"/>
          <w:szCs w:val="27"/>
          <w:lang w:val="en-GB"/>
        </w:rPr>
        <w:t>Mr</w:t>
      </w:r>
      <w:r w:rsidR="003E5C16" w:rsidRPr="00A97BD6">
        <w:rPr>
          <w:rFonts w:ascii="Arial" w:hAnsi="Arial" w:cs="Arial"/>
          <w:sz w:val="24"/>
          <w:szCs w:val="27"/>
          <w:lang w:val="en-GB"/>
        </w:rPr>
        <w:t xml:space="preserve"> President,</w:t>
      </w:r>
    </w:p>
    <w:p w:rsidR="00E54438" w:rsidRPr="00A97BD6" w:rsidRDefault="00E54438" w:rsidP="00905EC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7"/>
          <w:lang w:val="en-GB"/>
        </w:rPr>
      </w:pPr>
    </w:p>
    <w:p w:rsidR="00E54438" w:rsidRPr="00A97BD6" w:rsidRDefault="00E54438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A97BD6">
        <w:rPr>
          <w:rFonts w:ascii="Arial" w:hAnsi="Arial" w:cs="Arial"/>
          <w:sz w:val="24"/>
          <w:szCs w:val="27"/>
          <w:lang w:val="en-GB"/>
        </w:rPr>
        <w:t xml:space="preserve">Mongolia </w:t>
      </w:r>
      <w:r w:rsidR="003C1698" w:rsidRPr="00A97BD6">
        <w:rPr>
          <w:rFonts w:ascii="Arial" w:hAnsi="Arial" w:cs="Arial"/>
          <w:sz w:val="24"/>
          <w:szCs w:val="27"/>
          <w:lang w:val="en-GB"/>
        </w:rPr>
        <w:t xml:space="preserve">welcomes </w:t>
      </w:r>
      <w:r w:rsidR="000D166A">
        <w:rPr>
          <w:rFonts w:ascii="Arial" w:hAnsi="Arial" w:cs="Arial"/>
          <w:sz w:val="24"/>
          <w:szCs w:val="27"/>
          <w:lang w:val="en-GB"/>
        </w:rPr>
        <w:t>the inclusive</w:t>
      </w:r>
      <w:r w:rsidRPr="00A97BD6">
        <w:rPr>
          <w:rFonts w:ascii="Arial" w:hAnsi="Arial" w:cs="Arial"/>
          <w:sz w:val="24"/>
          <w:szCs w:val="27"/>
          <w:lang w:val="en-GB"/>
        </w:rPr>
        <w:t xml:space="preserve"> a</w:t>
      </w:r>
      <w:r w:rsidR="000D166A">
        <w:rPr>
          <w:rFonts w:ascii="Arial" w:hAnsi="Arial" w:cs="Arial"/>
          <w:sz w:val="24"/>
          <w:szCs w:val="27"/>
          <w:lang w:val="en-GB"/>
        </w:rPr>
        <w:t>nd multi-stakeholder consultation</w:t>
      </w:r>
      <w:r w:rsidRPr="00A97BD6">
        <w:rPr>
          <w:rFonts w:ascii="Arial" w:hAnsi="Arial" w:cs="Arial"/>
          <w:sz w:val="24"/>
          <w:szCs w:val="27"/>
          <w:lang w:val="en-GB"/>
        </w:rPr>
        <w:t xml:space="preserve"> </w:t>
      </w:r>
      <w:r w:rsidR="000D166A">
        <w:rPr>
          <w:rFonts w:ascii="Arial" w:hAnsi="Arial" w:cs="Arial"/>
          <w:sz w:val="24"/>
          <w:szCs w:val="27"/>
          <w:lang w:val="en-GB"/>
        </w:rPr>
        <w:t xml:space="preserve">process </w:t>
      </w:r>
      <w:r w:rsidR="00A97BD6" w:rsidRPr="00A97BD6">
        <w:rPr>
          <w:rFonts w:ascii="Arial" w:hAnsi="Arial" w:cs="Arial"/>
          <w:sz w:val="24"/>
          <w:szCs w:val="27"/>
          <w:lang w:val="en-GB"/>
        </w:rPr>
        <w:t xml:space="preserve">undertaken </w:t>
      </w:r>
      <w:r w:rsidRPr="00A97BD6">
        <w:rPr>
          <w:rFonts w:ascii="Arial" w:hAnsi="Arial" w:cs="Arial"/>
          <w:sz w:val="24"/>
          <w:szCs w:val="27"/>
          <w:lang w:val="en-GB"/>
        </w:rPr>
        <w:t xml:space="preserve">by the </w:t>
      </w:r>
      <w:r w:rsidR="00C208CF" w:rsidRPr="00A97BD6">
        <w:rPr>
          <w:rFonts w:ascii="Arial" w:hAnsi="Arial" w:cs="Arial"/>
          <w:sz w:val="24"/>
          <w:szCs w:val="24"/>
          <w:lang w:val="en-GB"/>
        </w:rPr>
        <w:t xml:space="preserve">Government </w:t>
      </w:r>
      <w:r w:rsidR="00A97BD6" w:rsidRPr="00A97BD6">
        <w:rPr>
          <w:rFonts w:ascii="Arial" w:hAnsi="Arial" w:cs="Arial"/>
          <w:sz w:val="24"/>
          <w:szCs w:val="24"/>
          <w:lang w:val="en-GB"/>
        </w:rPr>
        <w:t>of Indonesia in</w:t>
      </w:r>
      <w:r w:rsidRPr="00A97BD6">
        <w:rPr>
          <w:rFonts w:ascii="Arial" w:hAnsi="Arial" w:cs="Arial"/>
          <w:sz w:val="24"/>
          <w:szCs w:val="24"/>
          <w:lang w:val="en-GB"/>
        </w:rPr>
        <w:t xml:space="preserve"> the preparation of its national report </w:t>
      </w:r>
      <w:r w:rsidR="00286E68" w:rsidRPr="00A97BD6">
        <w:rPr>
          <w:rFonts w:ascii="Arial" w:hAnsi="Arial" w:cs="Arial"/>
          <w:sz w:val="24"/>
          <w:szCs w:val="24"/>
          <w:lang w:val="en-GB"/>
        </w:rPr>
        <w:t>submitted to the</w:t>
      </w:r>
      <w:r w:rsidRPr="00A97BD6">
        <w:rPr>
          <w:rFonts w:ascii="Arial" w:hAnsi="Arial" w:cs="Arial"/>
          <w:sz w:val="24"/>
          <w:szCs w:val="24"/>
          <w:lang w:val="en-GB"/>
        </w:rPr>
        <w:t xml:space="preserve"> third cycle of the Universal Periodic Review.</w:t>
      </w:r>
    </w:p>
    <w:p w:rsidR="00E54438" w:rsidRPr="00A97BD6" w:rsidRDefault="00E54438" w:rsidP="00905EC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n-GB"/>
        </w:rPr>
      </w:pPr>
    </w:p>
    <w:p w:rsidR="00286E68" w:rsidRPr="00A97BD6" w:rsidRDefault="00E54438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A97BD6">
        <w:rPr>
          <w:rFonts w:ascii="Arial" w:hAnsi="Arial" w:cs="Arial"/>
          <w:sz w:val="24"/>
          <w:szCs w:val="24"/>
          <w:lang w:val="en-GB"/>
        </w:rPr>
        <w:t>Mongolia</w:t>
      </w:r>
      <w:r w:rsidR="003C1698" w:rsidRPr="00A97BD6">
        <w:rPr>
          <w:rFonts w:ascii="Arial" w:hAnsi="Arial" w:cs="Arial"/>
          <w:sz w:val="24"/>
          <w:szCs w:val="24"/>
          <w:lang w:val="en-GB"/>
        </w:rPr>
        <w:t xml:space="preserve"> </w:t>
      </w:r>
      <w:r w:rsidRPr="00A97BD6">
        <w:rPr>
          <w:rFonts w:ascii="Arial" w:hAnsi="Arial" w:cs="Arial"/>
          <w:sz w:val="24"/>
          <w:szCs w:val="24"/>
          <w:lang w:val="en-GB"/>
        </w:rPr>
        <w:t xml:space="preserve">commends </w:t>
      </w:r>
      <w:r w:rsidR="00A97BD6" w:rsidRPr="00A97BD6">
        <w:rPr>
          <w:rFonts w:ascii="Arial" w:hAnsi="Arial" w:cs="Arial"/>
          <w:sz w:val="24"/>
          <w:szCs w:val="24"/>
          <w:lang w:val="en-GB"/>
        </w:rPr>
        <w:t xml:space="preserve">Indonesia for ratifying </w:t>
      </w:r>
      <w:r w:rsidR="00FC7D47" w:rsidRPr="00A97BD6">
        <w:rPr>
          <w:rFonts w:ascii="Arial" w:hAnsi="Arial" w:cs="Arial"/>
          <w:sz w:val="24"/>
          <w:szCs w:val="24"/>
          <w:lang w:val="en-GB"/>
        </w:rPr>
        <w:t xml:space="preserve">the </w:t>
      </w:r>
      <w:r w:rsidR="00FC7D47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two Optional Protocols to the Convention on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 Rights of the Child and</w:t>
      </w:r>
      <w:r w:rsidR="00710A29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incorporating them</w:t>
      </w:r>
      <w:r w:rsidR="00710A29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FC7D47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into 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its </w:t>
      </w:r>
      <w:r w:rsidR="00FC7D47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national </w:t>
      </w:r>
      <w:r w:rsidR="0010504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legislation. 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We would also like to underscore</w:t>
      </w:r>
      <w:r w:rsidR="003C1698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 commitment of the Government of Indonesia to strengthen </w:t>
      </w:r>
      <w:r w:rsidR="00B74339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its </w:t>
      </w:r>
      <w:r w:rsidR="003C1698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cooperation with </w:t>
      </w:r>
      <w:r w:rsidR="0010504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various </w:t>
      </w:r>
      <w:r w:rsidR="003C1698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UN human rights mechanism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s</w:t>
      </w:r>
      <w:r w:rsidR="003C1698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including through facilitating Special Rapporteurs’ visits </w:t>
      </w:r>
      <w:r w:rsidR="00C208CF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to Indonesia.</w:t>
      </w:r>
    </w:p>
    <w:p w:rsidR="00C208CF" w:rsidRPr="00A97BD6" w:rsidRDefault="00C208CF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7775E2" w:rsidRDefault="00C208CF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It is noteworthy that the Government of Indonesia </w:t>
      </w:r>
      <w:r w:rsid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has been </w:t>
      </w: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continuing the </w:t>
      </w:r>
      <w:r w:rsidR="006A6BB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4th</w:t>
      </w:r>
      <w:r w:rsidR="00A97BD6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6A6BB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generation of its </w:t>
      </w: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National Action Plan on Human Rights with </w:t>
      </w:r>
      <w:r w:rsid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 </w:t>
      </w: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special focus on police reform, strengthening the independence and effective functioning of national human rights institutions,</w:t>
      </w:r>
      <w:r w:rsid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as well as</w:t>
      </w: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on </w:t>
      </w: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the promotion and protection of the rights of women, children, persons with disabilities, and older persons.</w:t>
      </w:r>
      <w:r w:rsidR="006A6BB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</w:p>
    <w:p w:rsidR="007775E2" w:rsidRDefault="007775E2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641225" w:rsidRPr="00A97BD6" w:rsidRDefault="00A97BD6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n conclusion, Mongolia is pleased to note</w:t>
      </w:r>
      <w:r w:rsidR="00C208CF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the significant</w:t>
      </w:r>
      <w:r w:rsidR="00D51ED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effort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 made</w:t>
      </w:r>
      <w:r w:rsidR="00D51ED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1665C8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by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Indonesia to ensure</w:t>
      </w:r>
      <w:r w:rsidR="006A6BB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D51ED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the rights of human rights defenders</w:t>
      </w:r>
      <w:r w:rsidR="0064122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6A6BBC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>b</w:t>
      </w:r>
      <w:r w:rsidR="0064122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y </w:t>
      </w:r>
      <w:r w:rsidR="001201BD">
        <w:rPr>
          <w:rFonts w:ascii="Arial" w:hAnsi="Arial" w:cs="Arial"/>
          <w:sz w:val="24"/>
          <w:szCs w:val="24"/>
          <w:shd w:val="clear" w:color="auto" w:fill="FFFFFF"/>
          <w:lang w:val="en-GB"/>
        </w:rPr>
        <w:t>making relevant amendments to</w:t>
      </w:r>
      <w:r w:rsidR="00641225"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 Law on </w:t>
      </w:r>
      <w:r w:rsidR="001201BD">
        <w:rPr>
          <w:rFonts w:ascii="Arial" w:hAnsi="Arial" w:cs="Arial"/>
          <w:sz w:val="24"/>
          <w:szCs w:val="24"/>
          <w:shd w:val="clear" w:color="auto" w:fill="FFFFFF"/>
          <w:lang w:val="en-GB"/>
        </w:rPr>
        <w:t>Human Rights.</w:t>
      </w:r>
    </w:p>
    <w:p w:rsidR="00710A29" w:rsidRPr="00A97BD6" w:rsidRDefault="00FC7D47" w:rsidP="00905E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97BD6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</w:p>
    <w:p w:rsidR="003E5C16" w:rsidRPr="00A97BD6" w:rsidRDefault="00A97BD6" w:rsidP="00905EC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GB"/>
        </w:rPr>
      </w:pPr>
      <w:r>
        <w:rPr>
          <w:rFonts w:ascii="Arial" w:hAnsi="Arial" w:cs="Arial"/>
          <w:sz w:val="24"/>
          <w:szCs w:val="27"/>
          <w:lang w:val="en-GB"/>
        </w:rPr>
        <w:t>I thank you.</w:t>
      </w:r>
      <w:r w:rsidR="003E5C16" w:rsidRPr="00A97BD6">
        <w:rPr>
          <w:rFonts w:ascii="Arial" w:hAnsi="Arial" w:cs="Arial"/>
          <w:sz w:val="24"/>
          <w:szCs w:val="27"/>
          <w:lang w:val="en-GB"/>
        </w:rPr>
        <w:t xml:space="preserve"> </w:t>
      </w:r>
    </w:p>
    <w:p w:rsidR="00CB0A44" w:rsidRPr="00A97BD6" w:rsidRDefault="00CB0A44" w:rsidP="00905ECE">
      <w:pPr>
        <w:rPr>
          <w:lang w:val="en-GB"/>
        </w:rPr>
      </w:pPr>
    </w:p>
    <w:sectPr w:rsidR="00CB0A44" w:rsidRPr="00A97BD6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16"/>
    <w:rsid w:val="000D166A"/>
    <w:rsid w:val="0010504C"/>
    <w:rsid w:val="001201BD"/>
    <w:rsid w:val="001665C8"/>
    <w:rsid w:val="00286E68"/>
    <w:rsid w:val="002B1E1B"/>
    <w:rsid w:val="003C1698"/>
    <w:rsid w:val="003E5C16"/>
    <w:rsid w:val="00600009"/>
    <w:rsid w:val="00641225"/>
    <w:rsid w:val="006A6BBC"/>
    <w:rsid w:val="00710A29"/>
    <w:rsid w:val="007775E2"/>
    <w:rsid w:val="00905ECE"/>
    <w:rsid w:val="00997605"/>
    <w:rsid w:val="009B1812"/>
    <w:rsid w:val="00A97BD6"/>
    <w:rsid w:val="00B74339"/>
    <w:rsid w:val="00C208CF"/>
    <w:rsid w:val="00C754DF"/>
    <w:rsid w:val="00CB0A44"/>
    <w:rsid w:val="00D51ED5"/>
    <w:rsid w:val="00E54438"/>
    <w:rsid w:val="00EA5481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16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16"/>
    <w:rPr>
      <w:rFonts w:ascii="Tahoma" w:eastAsia="Calibri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16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16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95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16EAA-76DA-43A3-9919-488A6007A4D3}"/>
</file>

<file path=customXml/itemProps2.xml><?xml version="1.0" encoding="utf-8"?>
<ds:datastoreItem xmlns:ds="http://schemas.openxmlformats.org/officeDocument/2006/customXml" ds:itemID="{3CE91E62-CCB5-4641-A69A-EFF4D300A564}"/>
</file>

<file path=customXml/itemProps3.xml><?xml version="1.0" encoding="utf-8"?>
<ds:datastoreItem xmlns:ds="http://schemas.openxmlformats.org/officeDocument/2006/customXml" ds:itemID="{22FFEDD3-C9DE-4909-B477-1134F392C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</vt:lpstr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pc11</dc:creator>
  <cp:lastModifiedBy>pc12</cp:lastModifiedBy>
  <cp:revision>5</cp:revision>
  <cp:lastPrinted>2017-05-03T07:29:00Z</cp:lastPrinted>
  <dcterms:created xsi:type="dcterms:W3CDTF">2017-04-25T16:19:00Z</dcterms:created>
  <dcterms:modified xsi:type="dcterms:W3CDTF">2017-05-03T07:30:00Z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